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5A1C02" w:rsidRPr="00CD4DB8" w:rsidRDefault="005A1C02" w:rsidP="005A1C02">
      <w:pPr>
        <w:pStyle w:val="Standard"/>
        <w:tabs>
          <w:tab w:val="left" w:pos="0"/>
        </w:tabs>
        <w:jc w:val="both"/>
        <w:rPr>
          <w:rFonts w:ascii="Tahoma" w:hAnsi="Tahoma" w:cs="Arial"/>
          <w:lang w:val="sr-Latn-ME"/>
        </w:rPr>
      </w:pPr>
      <w:r>
        <w:rPr>
          <w:rFonts w:ascii="Arial" w:hAnsi="Arial" w:cs="Arial"/>
          <w:b/>
          <w:bCs/>
        </w:rPr>
        <w:tab/>
      </w:r>
      <w:r>
        <w:rPr>
          <w:rFonts w:ascii="Tahoma" w:hAnsi="Tahoma" w:cs="Arial"/>
          <w:lang w:val="sr-Cyrl-CS"/>
        </w:rPr>
        <w:t>Na osnovu člana 33 stav 1 tačka 6 Statuta opštine Plužine („</w:t>
      </w:r>
      <w:r>
        <w:rPr>
          <w:rFonts w:ascii="Tahoma" w:hAnsi="Tahoma" w:cs="Arial"/>
          <w:lang w:val="sr-Latn-ME"/>
        </w:rPr>
        <w:t xml:space="preserve">Sl.list CG – opštinski propisi“ broj 39/18), a u vezi sa članom </w:t>
      </w:r>
      <w:r>
        <w:rPr>
          <w:rFonts w:ascii="Arial" w:hAnsi="Arial" w:cs="Arial"/>
        </w:rPr>
        <w:t xml:space="preserve">16 stav 1 Zakona o uređenju prostora I izgradnji objekata („Sl. list CG“,br.51/08, 40/10, 34/11,47/11, 35/13, 39/13, 33/14) </w:t>
      </w:r>
      <w:r>
        <w:rPr>
          <w:rFonts w:ascii="Tahoma" w:hAnsi="Tahoma" w:cs="Arial"/>
          <w:lang w:val="sr-Latn-ME"/>
        </w:rPr>
        <w:t xml:space="preserve"> i članom 244</w:t>
      </w:r>
      <w:r w:rsidRPr="00CD4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planiranju prostora i izgradnji objekata („Sl. </w:t>
      </w:r>
      <w:r>
        <w:rPr>
          <w:rFonts w:ascii="Arial" w:hAnsi="Arial" w:cs="Arial"/>
          <w:lang w:val="sr-Latn-ME"/>
        </w:rPr>
        <w:t>l</w:t>
      </w:r>
      <w:r>
        <w:rPr>
          <w:rFonts w:ascii="Arial" w:hAnsi="Arial" w:cs="Arial"/>
        </w:rPr>
        <w:t>ist CG“, br.</w:t>
      </w:r>
      <w:r>
        <w:rPr>
          <w:rFonts w:ascii="Tahoma" w:hAnsi="Tahoma" w:cs="Times New Roman"/>
        </w:rPr>
        <w:t>64/17, 44/18, 63/18 i 11/19</w:t>
      </w:r>
      <w:r>
        <w:rPr>
          <w:rFonts w:ascii="Arial" w:hAnsi="Arial" w:cs="Arial"/>
        </w:rPr>
        <w:t xml:space="preserve">) Skupština opštine Plužine, na sjednici održanoj 01.06.2020. godine  d o n i j e l a  j e </w:t>
      </w: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/>
          <w:b/>
          <w:bCs/>
          <w:sz w:val="64"/>
          <w:szCs w:val="64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:rsidR="005A1C02" w:rsidRDefault="005A1C02" w:rsidP="005A1C02">
      <w:pPr>
        <w:pStyle w:val="Standard"/>
        <w:tabs>
          <w:tab w:val="left" w:pos="0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PROGRAM UREĐENJA PROSTORA</w:t>
      </w:r>
    </w:p>
    <w:p w:rsidR="005A1C02" w:rsidRDefault="005A1C02" w:rsidP="005A1C02">
      <w:pPr>
        <w:pStyle w:val="Standard"/>
        <w:tabs>
          <w:tab w:val="left" w:pos="0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ZA 2020. GODINU</w:t>
      </w: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  UVOD</w:t>
      </w:r>
    </w:p>
    <w:p w:rsidR="005A1C02" w:rsidRDefault="005A1C02" w:rsidP="005A1C02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  <w:r>
        <w:rPr>
          <w:rFonts w:ascii="Arial" w:hAnsi="Arial" w:cs="Arial"/>
        </w:rPr>
        <w:t>Pravni osnov za donošenje Programa uređenja prostora sadržan je u članu 244 Zakona o planiranju prostora i izgradnji objekata („Sl. List CG“, br.</w:t>
      </w:r>
      <w:r>
        <w:rPr>
          <w:rFonts w:ascii="Tahoma" w:hAnsi="Tahoma" w:cs="Times New Roman"/>
        </w:rPr>
        <w:t>64/17, 44/18, 63/18 i 11/19</w:t>
      </w:r>
      <w:r>
        <w:rPr>
          <w:rFonts w:ascii="Arial" w:hAnsi="Arial" w:cs="Arial"/>
        </w:rPr>
        <w:t xml:space="preserve">) u kome se navodi da </w:t>
      </w:r>
      <w:r>
        <w:rPr>
          <w:rFonts w:ascii="Tahoma" w:hAnsi="Tahoma" w:cs="Arial"/>
        </w:rPr>
        <w:t>d</w:t>
      </w:r>
      <w:r>
        <w:rPr>
          <w:rFonts w:ascii="Tahoma" w:hAnsi="Tahoma"/>
          <w:color w:val="000000"/>
        </w:rPr>
        <w:t>anom stupanja na snagu ovog zakona prestaje da važi Zakon o regularizaciji neformalnih objekata ("Službeni list CG", br. 56/16, 13/17 i 47/17) i Zakon o uređenju prostora i izgradnji objekata ("Službeni list CG", br.</w:t>
      </w:r>
      <w:r>
        <w:rPr>
          <w:rFonts w:ascii="Arial" w:hAnsi="Arial" w:cs="Arial"/>
          <w:color w:val="000000"/>
        </w:rPr>
        <w:t xml:space="preserve">51/08, 40/10, 34/11, 40/11, 47/11, 35/13, 39/13 i 33/14 </w:t>
      </w:r>
      <w:r>
        <w:rPr>
          <w:rFonts w:ascii="Tahoma" w:hAnsi="Tahoma"/>
          <w:color w:val="000000"/>
        </w:rPr>
        <w:t>), osim odredbi čl. 7, 16, 63, 64, 65, 67, 67a i 162c koje će se primjenjivati do donošenja plana generalne regulacije Crne Gore,</w:t>
      </w:r>
      <w:r>
        <w:rPr>
          <w:rFonts w:ascii="Arial" w:hAnsi="Arial" w:cs="Arial"/>
        </w:rPr>
        <w:t xml:space="preserve"> člana 16 stav 1 Zakona o uređenju prostora I izgradnji objekata („Sl. List CG“,br.51/08, 40/10, 34/11,47/11, 35/13, 39/13, 33/14) kojim se određuje da skupština lokalne samouprave donosi jednogodišnji program uređenja prostora i Pravilnika o sadržini programa uređenja građevinskog zemljišta („Sl. List CG“,br.60/01).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sadrži: vrste i obim poslova koji će se realizovati u godini za koju se Program donosi – po urbanističkim zonama i infrastrukturnim i drugim sistemima.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>Uređenje građevinskog zemljišta obuhvata pripremu građevinskog zemljišta za komunalno opremanje i komunalno opremanje. Čl. 64. Zakona o uređenju prostora i izgradnji objekata („Sl. list CG“ br. 51/08, 40/10, 34/11, 40/11, 47/11, 35/13, 39/13 i 33/14) je propisano da priprema građevinskog zemljišta za komunalno opremanje naročito obuhvata: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1) rješavanje imovinsko – pravnih odnosa, izradu planske, tehničke i druge </w:t>
      </w:r>
      <w:r>
        <w:rPr>
          <w:rFonts w:ascii="Arial" w:hAnsi="Arial" w:cs="Arial"/>
        </w:rPr>
        <w:tab/>
        <w:t>dokumentacije;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2) preduzimanje mjera zaštite spomenika kulture i zaštite spomenika prirode koji bi </w:t>
      </w:r>
      <w:r>
        <w:rPr>
          <w:rFonts w:ascii="Arial" w:hAnsi="Arial" w:cs="Arial"/>
        </w:rPr>
        <w:tab/>
        <w:t>mogli biti ugroženi radovima na pripremi zemljišta;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3) rušenje postojećih objekata i uređenja i uklanjanja materijala, kao i premještanje </w:t>
      </w:r>
      <w:r>
        <w:rPr>
          <w:rFonts w:ascii="Arial" w:hAnsi="Arial" w:cs="Arial"/>
        </w:rPr>
        <w:tab/>
        <w:t>postojećih nadzemih i podzemnih instalacije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čl. 65. Zakona o uređenju prostora i izgradnji objekata („Sl. list CG“ br. 51/08, 40/10, 34/11, 40/11, 47/11, 35/13, 39/13 i 33/14) propisano je da komunalno opremanje građevinskog zemljišta obuhvata izgradnju objekata i uređenje komunalne infrastrukture, a naročito: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1) komunalnih objekata i instalacija do priključka na urbanističku parcelu uključujući </w:t>
      </w:r>
      <w:r>
        <w:rPr>
          <w:rFonts w:ascii="Arial" w:hAnsi="Arial" w:cs="Arial"/>
        </w:rPr>
        <w:tab/>
        <w:t>i priključak za vodovod, fekalnu i atmosfersku kanalizaciju i javnu rasvjetu;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2) puteva i ulica u naselju, nadvožnjaka, podvožnjaka i mostova, pješačkih prolaza, </w:t>
      </w:r>
      <w:r>
        <w:rPr>
          <w:rFonts w:ascii="Arial" w:hAnsi="Arial" w:cs="Arial"/>
        </w:rPr>
        <w:tab/>
        <w:t>pločnika, trgova, skverova i javnih parkirališta u naselju;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3) zelenih površina u naselju, blokovskog zelenila, terena za rekreacij, dječijih </w:t>
      </w:r>
      <w:r>
        <w:rPr>
          <w:rFonts w:ascii="Arial" w:hAnsi="Arial" w:cs="Arial"/>
        </w:rPr>
        <w:tab/>
        <w:t xml:space="preserve">igrališta, parkova, pješačkih staza i travnjaka, biciklističkih staza, javnih gradskih </w:t>
      </w:r>
      <w:r>
        <w:rPr>
          <w:rFonts w:ascii="Arial" w:hAnsi="Arial" w:cs="Arial"/>
        </w:rPr>
        <w:tab/>
        <w:t>komunalnih objekata i groblja;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4) deponija i objekata za preradu i uništavanje otpadnih materijala;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5) priključaka komunalnih instalacija čija funkcija može biti veća od značaja u </w:t>
      </w:r>
      <w:r>
        <w:rPr>
          <w:rFonts w:ascii="Arial" w:hAnsi="Arial" w:cs="Arial"/>
        </w:rPr>
        <w:tab/>
        <w:t xml:space="preserve">uslovima nastanka vanredne situacije, elementarnih nepogoda ili radi zaštite </w:t>
      </w:r>
      <w:r>
        <w:rPr>
          <w:rFonts w:ascii="Arial" w:hAnsi="Arial" w:cs="Arial"/>
        </w:rPr>
        <w:tab/>
        <w:t>države.</w:t>
      </w: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</w:p>
    <w:p w:rsidR="005A1C02" w:rsidRDefault="005A1C02" w:rsidP="005A1C02">
      <w:pPr>
        <w:pStyle w:val="Standard"/>
        <w:tabs>
          <w:tab w:val="left" w:pos="0"/>
        </w:tabs>
        <w:spacing w:before="58" w:after="86"/>
        <w:jc w:val="both"/>
      </w:pPr>
    </w:p>
    <w:p w:rsidR="005A1C02" w:rsidRPr="005A1C02" w:rsidRDefault="005A1C02" w:rsidP="005A1C02">
      <w:pPr>
        <w:pStyle w:val="Standard"/>
        <w:ind w:left="1350"/>
      </w:pPr>
      <w:r w:rsidRPr="005A1C02">
        <w:rPr>
          <w:rStyle w:val="StrongEmphasis"/>
          <w:rFonts w:ascii="Arial" w:hAnsi="Arial"/>
          <w:bCs w:val="0"/>
          <w:color w:val="000000"/>
        </w:rPr>
        <w:lastRenderedPageBreak/>
        <w:t>II        IZVORI FINANSIRANJA</w:t>
      </w:r>
    </w:p>
    <w:p w:rsidR="005A1C02" w:rsidRDefault="005A1C02" w:rsidP="005A1C02">
      <w:pPr>
        <w:pStyle w:val="Standard"/>
      </w:pPr>
    </w:p>
    <w:p w:rsidR="005A1C02" w:rsidRDefault="005A1C02" w:rsidP="005A1C02">
      <w:pPr>
        <w:pStyle w:val="Standard"/>
        <w:rPr>
          <w:rFonts w:ascii="Arial" w:hAnsi="Arial"/>
        </w:rPr>
      </w:pPr>
      <w:r>
        <w:rPr>
          <w:rFonts w:ascii="Arial" w:hAnsi="Arial"/>
        </w:rPr>
        <w:t>Sredstva potrebna za ostvarivanje Programa uređenja prostora Opštine Plužine za 2019. godinu, obezbjeđuju se iz sljedećih izvora:</w:t>
      </w:r>
    </w:p>
    <w:p w:rsidR="005A1C02" w:rsidRDefault="005A1C02" w:rsidP="005A1C0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Budžet Opštine Plužine,</w:t>
      </w:r>
    </w:p>
    <w:p w:rsidR="005A1C02" w:rsidRDefault="005A1C02" w:rsidP="005A1C0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sredstva kredita,</w:t>
      </w:r>
    </w:p>
    <w:p w:rsidR="005A1C02" w:rsidRDefault="005A1C02" w:rsidP="005A1C0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sredstva zainteresovanih korisnika prostora,</w:t>
      </w:r>
    </w:p>
    <w:p w:rsidR="005A1C02" w:rsidRDefault="005A1C02" w:rsidP="005A1C02">
      <w:pPr>
        <w:pStyle w:val="Standard"/>
        <w:numPr>
          <w:ilvl w:val="0"/>
          <w:numId w:val="2"/>
        </w:numPr>
      </w:pPr>
      <w:r>
        <w:rPr>
          <w:rStyle w:val="StrongEmphasis"/>
          <w:rFonts w:ascii="Arial" w:hAnsi="Arial" w:cs="Arial"/>
          <w:color w:val="000000"/>
        </w:rPr>
        <w:t>sredstva iz donacija</w:t>
      </w:r>
    </w:p>
    <w:p w:rsidR="005A1C02" w:rsidRDefault="005A1C02" w:rsidP="005A1C02">
      <w:pPr>
        <w:pStyle w:val="Standard"/>
      </w:pPr>
    </w:p>
    <w:p w:rsidR="005A1C02" w:rsidRDefault="005A1C02" w:rsidP="005A1C02">
      <w:pPr>
        <w:pStyle w:val="Standard"/>
      </w:pPr>
    </w:p>
    <w:p w:rsidR="005A1C02" w:rsidRDefault="005A1C02" w:rsidP="005A1C02">
      <w:pPr>
        <w:pStyle w:val="Standard"/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III UREĐENJE PROSTORA</w:t>
      </w:r>
    </w:p>
    <w:p w:rsidR="005A1C02" w:rsidRDefault="005A1C02" w:rsidP="005A1C02">
      <w:pPr>
        <w:pStyle w:val="Standard"/>
        <w:rPr>
          <w:rFonts w:ascii="Arial Black" w:hAnsi="Arial Black" w:cs="Arial"/>
        </w:rPr>
      </w:pPr>
    </w:p>
    <w:p w:rsidR="005A1C02" w:rsidRDefault="005A1C02" w:rsidP="005A1C02">
      <w:pPr>
        <w:pStyle w:val="Standard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</w:t>
      </w:r>
      <w:r>
        <w:rPr>
          <w:rFonts w:ascii="Arial" w:hAnsi="Arial" w:cs="Arial"/>
          <w:b/>
          <w:bCs/>
        </w:rPr>
        <w:t xml:space="preserve"> 1. Izrada i donošenje planskih dokumenata u 2019. godini</w:t>
      </w:r>
    </w:p>
    <w:p w:rsidR="005A1C02" w:rsidRDefault="005A1C02" w:rsidP="005A1C02">
      <w:pPr>
        <w:pStyle w:val="Standard"/>
        <w:rPr>
          <w:rFonts w:ascii="Arial" w:hAnsi="Arial" w:cs="Arial"/>
        </w:rPr>
      </w:pPr>
    </w:p>
    <w:p w:rsidR="005A1C02" w:rsidRDefault="005A1C02" w:rsidP="005A1C02">
      <w:pPr>
        <w:pStyle w:val="Standard"/>
        <w:jc w:val="both"/>
      </w:pPr>
      <w:r>
        <w:rPr>
          <w:rFonts w:ascii="Arial" w:hAnsi="Arial"/>
        </w:rPr>
        <w:t>Ovaj program je sačinjen na osnovu</w:t>
      </w:r>
      <w:r>
        <w:t xml:space="preserve"> </w:t>
      </w:r>
      <w:r>
        <w:rPr>
          <w:rFonts w:ascii="Arial" w:hAnsi="Arial"/>
        </w:rPr>
        <w:t>Prostorno Urbanističkog Plana Opštine Plužine („Sl.list CG – opštinski propisi“ br.32/12).</w:t>
      </w: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Članom 15 Zakona o planiranju prostora i izgradnji objekata predviđeno je donošenje prostornog plana Crne Gore i plana Generalne regulacije Crne Gore. Prostorni plan Crne Gore i plan Generalne regulacije Crne Gore donosi Skupština Crne Gore u roku od tri godine od dana stupanja na snagu zakona.</w:t>
      </w:r>
    </w:p>
    <w:p w:rsidR="005A1C02" w:rsidRDefault="005A1C02" w:rsidP="005A1C02">
      <w:pPr>
        <w:pStyle w:val="Standard"/>
        <w:jc w:val="both"/>
        <w:rPr>
          <w:rFonts w:ascii="Arial" w:hAnsi="Arial"/>
        </w:rPr>
      </w:pPr>
    </w:p>
    <w:p w:rsidR="005A1C02" w:rsidRPr="005A1C02" w:rsidRDefault="005A1C02" w:rsidP="005A1C02">
      <w:pPr>
        <w:pStyle w:val="Standard"/>
        <w:jc w:val="both"/>
        <w:rPr>
          <w:rFonts w:ascii="Arial" w:hAnsi="Arial" w:cs="Arial"/>
        </w:rPr>
      </w:pPr>
      <w:r>
        <w:rPr>
          <w:rStyle w:val="StrongEmphasis"/>
          <w:rFonts w:cs="Arial"/>
          <w:b w:val="0"/>
          <w:bCs w:val="0"/>
          <w:color w:val="000000"/>
        </w:rPr>
        <w:tab/>
      </w:r>
      <w:r w:rsidRPr="005A1C02">
        <w:rPr>
          <w:rStyle w:val="StrongEmphasis"/>
          <w:rFonts w:ascii="Arial" w:hAnsi="Arial" w:cs="Arial"/>
          <w:b w:val="0"/>
          <w:bCs w:val="0"/>
          <w:color w:val="000000"/>
        </w:rPr>
        <w:t>2. Izrada projektne dokumentacije</w:t>
      </w: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 toku je revizija projekta, uređenja terena iza zgrada A1-A4 sa pristupnom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ulicom i parkong prostorom.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toku je izrada projekta fudbalskog stadiona sa pristupnom ulicom i parking  </w:t>
      </w:r>
      <w:r>
        <w:rPr>
          <w:rFonts w:ascii="Arial" w:hAnsi="Arial" w:cs="Arial"/>
        </w:rPr>
        <w:tab/>
        <w:t xml:space="preserve">          prostorom.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toku je izrada projekta pristupne ulice za kapelu i crkvu i parking prostora.  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 toku je izrada projekta uređenje obale jezera n</w:t>
      </w:r>
      <w:r>
        <w:rPr>
          <w:rFonts w:ascii="Arial" w:hAnsi="Arial"/>
          <w:color w:val="000000"/>
        </w:rPr>
        <w:t xml:space="preserve">a katastarskim parcelama           </w:t>
      </w:r>
      <w:r>
        <w:rPr>
          <w:rFonts w:ascii="Arial" w:hAnsi="Arial"/>
          <w:color w:val="000000"/>
        </w:rPr>
        <w:tab/>
        <w:t xml:space="preserve">          10/2, 12, 19, 20/3 i 28/2, KO Plužine, n</w:t>
      </w:r>
      <w:r>
        <w:rPr>
          <w:rFonts w:ascii="Arial" w:hAnsi="Arial" w:cs="Trebuchet MS"/>
          <w:color w:val="000000"/>
        </w:rPr>
        <w:t>a području planiranog kampa.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toku je izrada projekta uređenja trga ispred Opštine sa izradom rampi za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lica smanjene pokretljivosti i lica sa invaliditetom</w:t>
      </w:r>
      <w:r>
        <w:rPr>
          <w:rFonts w:ascii="Arial" w:hAnsi="Arial" w:cs="Arial"/>
          <w:i/>
          <w:iCs/>
          <w:color w:val="000000"/>
        </w:rPr>
        <w:t xml:space="preserve"> za </w:t>
      </w:r>
      <w:r>
        <w:rPr>
          <w:rFonts w:ascii="Arial" w:hAnsi="Arial"/>
          <w:color w:val="000000"/>
        </w:rPr>
        <w:t xml:space="preserve">zgrade Opštine i Centra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za Kulturu.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/>
          <w:color w:val="000000"/>
        </w:rPr>
        <w:t>U toku je izrada projekta za postrojenje za prečišćavanje otpadnih voda</w:t>
      </w:r>
    </w:p>
    <w:p w:rsid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toku je izrada projektne dokumentacije za rekonstrukciju ulice Baja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Pivljanina od hangara do uključenja na fazu I kružne saobraćajnice</w:t>
      </w:r>
    </w:p>
    <w:p w:rsidR="005A1C02" w:rsidRPr="005A1C02" w:rsidRDefault="005A1C02" w:rsidP="005A1C02">
      <w:pPr>
        <w:pStyle w:val="Standard"/>
        <w:numPr>
          <w:ilvl w:val="0"/>
          <w:numId w:val="3"/>
        </w:numPr>
        <w:spacing w:after="144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toku je izrada projektne dokumentacije za </w:t>
      </w:r>
      <w:r>
        <w:rPr>
          <w:rFonts w:ascii="Arial" w:hAnsi="Arial"/>
        </w:rPr>
        <w:t xml:space="preserve">nastavak ulice u naselu Rosulje </w:t>
      </w:r>
      <w:r>
        <w:rPr>
          <w:rFonts w:ascii="Arial" w:hAnsi="Arial"/>
        </w:rPr>
        <w:tab/>
      </w:r>
      <w:r>
        <w:rPr>
          <w:rFonts w:ascii="Arial" w:hAnsi="Arial"/>
        </w:rPr>
        <w:tab/>
        <w:t>sa uklapanjem na fazu I kružne saobraćajnic</w:t>
      </w:r>
      <w:r w:rsidR="006760AD">
        <w:rPr>
          <w:rFonts w:ascii="Arial" w:hAnsi="Arial"/>
        </w:rPr>
        <w:t>e</w:t>
      </w:r>
    </w:p>
    <w:p w:rsidR="005A1C02" w:rsidRDefault="005A1C02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FE3461" w:rsidRDefault="00FE3461" w:rsidP="005A1C02">
      <w:pPr>
        <w:pStyle w:val="Standard"/>
        <w:spacing w:after="144"/>
        <w:ind w:firstLine="720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numPr>
          <w:ilvl w:val="2"/>
          <w:numId w:val="4"/>
        </w:numPr>
        <w:spacing w:after="144"/>
        <w:ind w:left="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Rekonstrukcija i izgradnja lokalne infrastrukture</w:t>
      </w:r>
    </w:p>
    <w:p w:rsidR="005A1C02" w:rsidRDefault="005A1C02" w:rsidP="005A1C02">
      <w:pPr>
        <w:pStyle w:val="Standard"/>
        <w:spacing w:after="144"/>
        <w:ind w:firstLine="720"/>
        <w:jc w:val="both"/>
        <w:rPr>
          <w:rFonts w:ascii="Arial" w:hAnsi="Arial" w:cs="Arial"/>
          <w:b/>
          <w:bCs/>
        </w:rPr>
      </w:pPr>
    </w:p>
    <w:tbl>
      <w:tblPr>
        <w:tblW w:w="9549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748"/>
        <w:gridCol w:w="2304"/>
        <w:gridCol w:w="3897"/>
      </w:tblGrid>
      <w:tr w:rsidR="005A1C02" w:rsidTr="00BA3A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snapToGrid w:val="0"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sz w:val="22"/>
                <w:szCs w:val="22"/>
                <w:lang w:val="en-GB"/>
              </w:rPr>
              <w:t xml:space="preserve"> NAZIV INVESTICIJE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sz w:val="22"/>
                <w:szCs w:val="22"/>
                <w:lang w:val="en-GB"/>
              </w:rPr>
              <w:t>UKUPNA VRIJEDNOST</w:t>
            </w:r>
          </w:p>
          <w:p w:rsidR="005A1C02" w:rsidRDefault="005A1C02" w:rsidP="00BA3A10">
            <w:pPr>
              <w:pStyle w:val="Standard"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sz w:val="22"/>
                <w:szCs w:val="22"/>
                <w:lang w:val="en-GB"/>
              </w:rPr>
              <w:t xml:space="preserve">( € ) 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sz w:val="22"/>
                <w:szCs w:val="22"/>
                <w:lang w:val="en-GB"/>
              </w:rPr>
              <w:t>IZVOR FINANSIRANJA</w:t>
            </w:r>
          </w:p>
        </w:tc>
      </w:tr>
      <w:tr w:rsidR="005A1C02" w:rsidTr="00BA3A10">
        <w:trPr>
          <w:trHeight w:val="9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spacing w:after="14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Izgradnja I faze kružne saobraćajnice.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900.000.00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Obaveza EPCG u skladu sa Ugovorom zaključenim između Opštine I EPCG broj</w:t>
            </w:r>
          </w:p>
        </w:tc>
      </w:tr>
      <w:tr w:rsidR="005A1C02" w:rsidTr="00BA3A10">
        <w:trPr>
          <w:trHeight w:val="10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Asfaltiranje lokalnih puteva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230.000.00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3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Sanacija i popravka lokalnih puteva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76.000.00</w:t>
            </w: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4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spacing w:after="144"/>
              <w:rPr>
                <w:rFonts w:ascii="Arial" w:eastAsia="Calibri" w:hAnsi="Arial" w:cs="Arial"/>
              </w:rPr>
            </w:pPr>
          </w:p>
          <w:p w:rsidR="005A1C02" w:rsidRDefault="005A1C02" w:rsidP="00BA3A10">
            <w:pPr>
              <w:pStyle w:val="Standard"/>
              <w:spacing w:after="14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Sanacija igrališta za košarku i odbojku u naselju Plužine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30,000,00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Ministarstvo sporta i Opština Plužine</w:t>
            </w:r>
          </w:p>
        </w:tc>
      </w:tr>
      <w:tr w:rsidR="005A1C02" w:rsidTr="00BA3A10">
        <w:trPr>
          <w:trHeight w:val="9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5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spacing w:after="144"/>
              <w:ind w:firstLine="720"/>
              <w:rPr>
                <w:rFonts w:ascii="Arial" w:eastAsia="Calibri" w:hAnsi="Arial" w:cs="Arial"/>
              </w:rPr>
            </w:pPr>
          </w:p>
          <w:p w:rsidR="005A1C02" w:rsidRDefault="005A1C02" w:rsidP="00BA3A10">
            <w:pPr>
              <w:pStyle w:val="Standard"/>
              <w:spacing w:after="144"/>
              <w:ind w:firstLine="7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Izgradnja ograde groblja u Plužinama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30.000,00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6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spacing w:after="14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Dogradnja vodovodne mreže u Kružnoj saobraćajnici faza I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80.000,00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5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Učešće u izgradnji seoskih vodovoda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70.000.00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6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Učešće u izradi fasada na stambenim zgradama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25.000.00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7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Učešće u izgradnji sabornog Hrama u Plužinama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100,000,00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 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8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Zamjena postojeće rasvete led rasvetom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20.000.00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9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Opremanje kule Lazara Sočice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20.000.00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Sredstva iz budžeta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Opštine</w:t>
            </w:r>
          </w:p>
        </w:tc>
      </w:tr>
      <w:tr w:rsidR="005A1C02" w:rsidTr="00BA3A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10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Eksproprijacija zemljišta za izgradnju stadiona</w:t>
            </w: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jc w:val="center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200.000.00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</w:p>
          <w:p w:rsidR="005A1C02" w:rsidRDefault="005A1C02" w:rsidP="00BA3A10">
            <w:pPr>
              <w:pStyle w:val="Standard"/>
              <w:rPr>
                <w:rFonts w:ascii="Arial" w:eastAsia="Calibri" w:hAnsi="Arial"/>
                <w:lang w:val="en-GB"/>
              </w:rPr>
            </w:pPr>
            <w:r>
              <w:rPr>
                <w:rFonts w:ascii="Arial" w:eastAsia="Calibri" w:hAnsi="Arial"/>
                <w:lang w:val="en-GB"/>
              </w:rPr>
              <w:t>Obaveza EPCG u skladu sa Ugovorom zaključenim između Opštine I EPCG broj</w:t>
            </w:r>
          </w:p>
        </w:tc>
      </w:tr>
    </w:tbl>
    <w:p w:rsidR="005A1C02" w:rsidRDefault="005A1C02" w:rsidP="005A1C02">
      <w:pPr>
        <w:pStyle w:val="ListParagraph"/>
        <w:ind w:left="0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ind w:left="360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lastRenderedPageBreak/>
        <w:t>IV REALIZACIJA PROGRAMA</w:t>
      </w:r>
    </w:p>
    <w:p w:rsidR="005A1C02" w:rsidRDefault="005A1C02" w:rsidP="005A1C02">
      <w:pPr>
        <w:pStyle w:val="Standard"/>
        <w:jc w:val="both"/>
        <w:rPr>
          <w:rFonts w:ascii="Arial Black" w:hAnsi="Arial Black" w:cs="Arial"/>
        </w:rPr>
      </w:pP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Realizaciju ovog programa sprovešće Sekretarijat za opštu upravu i društvene djelatnosti opštine Plužine i EPCG po osnovu Ugovora o preostalim obavezama EPCG prema Opštini.</w:t>
      </w: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u toku realizacije programa pokaze opravdanim i cjelishodnim,  lokalna samouprava može donijeti odluku za izgradnju infrastrukturnih objekata koji nijesu obuhvaćeni ovim programom i to u slučaju:</w:t>
      </w:r>
      <w:r>
        <w:rPr>
          <w:rFonts w:ascii="Arial" w:hAnsi="Arial" w:cs="Arial"/>
        </w:rPr>
        <w:tab/>
      </w:r>
    </w:p>
    <w:p w:rsidR="005A1C02" w:rsidRDefault="005A1C02" w:rsidP="005A1C02">
      <w:pPr>
        <w:pStyle w:val="Standard"/>
        <w:numPr>
          <w:ilvl w:val="0"/>
          <w:numId w:val="6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kada investitor uplati u cjelosti naknadu za komunalno opremanje građevinskog zemljišta, a traži da mu se lokacija infrastrukturno opremi,</w:t>
      </w:r>
    </w:p>
    <w:p w:rsidR="005A1C02" w:rsidRDefault="005A1C02" w:rsidP="005A1C02">
      <w:pPr>
        <w:pStyle w:val="Standard"/>
        <w:numPr>
          <w:ilvl w:val="0"/>
          <w:numId w:val="6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kada investitor iskaže namjeru da na ime naknade za komunalno opremanje građevinskog zemljišta sam izvrši komunalno opremanje, u skladu sa planskim dokumentom, a na osnovu člana 67. Zakona o uređenju prostora i izgradnji objekata.</w:t>
      </w:r>
    </w:p>
    <w:p w:rsidR="005A1C02" w:rsidRDefault="005A1C02" w:rsidP="005A1C02">
      <w:pPr>
        <w:pStyle w:val="Standard"/>
        <w:ind w:left="360"/>
        <w:jc w:val="both"/>
        <w:rPr>
          <w:rFonts w:ascii="Arial Black" w:hAnsi="Arial Black" w:cs="Arial"/>
        </w:rPr>
      </w:pPr>
    </w:p>
    <w:p w:rsidR="005A1C02" w:rsidRDefault="005A1C02" w:rsidP="005A1C02">
      <w:pPr>
        <w:pStyle w:val="Standard"/>
        <w:ind w:left="360"/>
        <w:jc w:val="both"/>
        <w:rPr>
          <w:rFonts w:ascii="Arial Black" w:hAnsi="Arial Black" w:cs="Arial"/>
        </w:rPr>
      </w:pPr>
    </w:p>
    <w:p w:rsidR="005A1C02" w:rsidRDefault="005A1C02" w:rsidP="005A1C02">
      <w:pPr>
        <w:pStyle w:val="Standard"/>
        <w:ind w:left="360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V        ZAVRŠNE ODREDBE</w:t>
      </w:r>
    </w:p>
    <w:p w:rsidR="005A1C02" w:rsidRDefault="005A1C02" w:rsidP="005A1C02">
      <w:pPr>
        <w:pStyle w:val="Standard"/>
        <w:jc w:val="both"/>
        <w:rPr>
          <w:rFonts w:ascii="Arial Black" w:hAnsi="Arial Black" w:cs="Arial"/>
        </w:rPr>
      </w:pP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Ovaj Program stupa na snagu osmog dana od dana objavljivanja u Službenom listu Crne Gore-opštinski propisi.</w:t>
      </w:r>
    </w:p>
    <w:p w:rsidR="005A1C02" w:rsidRDefault="005A1C02" w:rsidP="005A1C02">
      <w:pPr>
        <w:pStyle w:val="Standard"/>
        <w:ind w:firstLine="720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Crna Gora</w:t>
      </w: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OPŠTINA PLUŽINE</w:t>
      </w: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Skupština</w:t>
      </w:r>
    </w:p>
    <w:p w:rsidR="005A1C02" w:rsidRDefault="00F83DAB" w:rsidP="005A1C0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Broj: 016/040</w:t>
      </w:r>
      <w:r w:rsidR="005A1C02">
        <w:rPr>
          <w:rFonts w:ascii="Arial" w:hAnsi="Arial" w:cs="Arial"/>
        </w:rPr>
        <w:t>-03-64/1</w:t>
      </w: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Plužine, 01.06.2020.godine                                                                         </w:t>
      </w: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</w:p>
    <w:p w:rsidR="005A1C02" w:rsidRDefault="005A1C02" w:rsidP="005A1C02">
      <w:pPr>
        <w:pStyle w:val="Standard"/>
        <w:spacing w:before="29"/>
        <w:jc w:val="right"/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bCs/>
          <w:lang w:val="sl-SI"/>
        </w:rPr>
        <w:t xml:space="preserve">                                                                            </w:t>
      </w:r>
      <w:r>
        <w:rPr>
          <w:rFonts w:ascii="Tahoma" w:hAnsi="Tahoma" w:cs="Tahoma"/>
          <w:lang w:val="sl-SI"/>
        </w:rPr>
        <w:t xml:space="preserve">Predsjednik, </w:t>
      </w:r>
    </w:p>
    <w:p w:rsidR="005A1C02" w:rsidRDefault="005A1C02" w:rsidP="005A1C02">
      <w:pPr>
        <w:pStyle w:val="Standard"/>
        <w:spacing w:before="29"/>
        <w:jc w:val="right"/>
        <w:rPr>
          <w:rFonts w:ascii="Tahoma" w:hAnsi="Tahoma" w:cs="Tahoma"/>
          <w:b/>
          <w:bCs/>
          <w:lang w:val="sl-SI"/>
        </w:rPr>
      </w:pPr>
      <w:r>
        <w:rPr>
          <w:rFonts w:ascii="Tahoma" w:hAnsi="Tahoma" w:cs="Tahoma"/>
          <w:lang w:val="sl-SI"/>
        </w:rPr>
        <w:t>Petar Mitrić s.r.</w:t>
      </w:r>
    </w:p>
    <w:p w:rsidR="005A1C02" w:rsidRDefault="005A1C02" w:rsidP="005A1C02">
      <w:pPr>
        <w:pStyle w:val="Standard"/>
        <w:jc w:val="both"/>
        <w:rPr>
          <w:rFonts w:ascii="Arial" w:hAnsi="Arial" w:cs="Arial"/>
        </w:rPr>
      </w:pP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</w:p>
    <w:p w:rsidR="005A1C02" w:rsidRDefault="005A1C02" w:rsidP="005A1C02">
      <w:pPr>
        <w:pStyle w:val="Standard"/>
        <w:jc w:val="center"/>
        <w:rPr>
          <w:rFonts w:ascii="Arial" w:hAnsi="Arial" w:cs="Arial"/>
        </w:rPr>
      </w:pPr>
    </w:p>
    <w:p w:rsidR="005A1C02" w:rsidRDefault="005A1C02" w:rsidP="005A1C02">
      <w:pPr>
        <w:pStyle w:val="Textbody"/>
        <w:widowControl/>
        <w:spacing w:after="0"/>
        <w:jc w:val="center"/>
        <w:rPr>
          <w:rFonts w:ascii="Arial" w:hAnsi="Arial" w:cs="Arial"/>
        </w:rPr>
      </w:pPr>
    </w:p>
    <w:p w:rsidR="00EE2389" w:rsidRDefault="00AD5A96"/>
    <w:sectPr w:rsidR="00EE238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1D4E"/>
    <w:multiLevelType w:val="multilevel"/>
    <w:tmpl w:val="EDD83F7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DAF6B14"/>
    <w:multiLevelType w:val="multilevel"/>
    <w:tmpl w:val="72AEDBE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535B1BBD"/>
    <w:multiLevelType w:val="multilevel"/>
    <w:tmpl w:val="C2B05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350" w:hanging="360"/>
      </w:pPr>
      <w:rPr>
        <w:rFonts w:ascii="Arial Black" w:hAnsi="Arial Black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217535B"/>
    <w:multiLevelType w:val="multilevel"/>
    <w:tmpl w:val="073027B4"/>
    <w:lvl w:ilvl="0">
      <w:start w:val="3"/>
      <w:numFmt w:val="upperRoman"/>
      <w:lvlText w:val="%1."/>
      <w:lvlJc w:val="left"/>
      <w:pPr>
        <w:ind w:left="720" w:hanging="360"/>
      </w:pPr>
      <w:rPr>
        <w:rFonts w:ascii="Arial Black" w:hAnsi="Arial Black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643573E"/>
    <w:multiLevelType w:val="multilevel"/>
    <w:tmpl w:val="60DEA9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74DD1F6E"/>
    <w:multiLevelType w:val="multilevel"/>
    <w:tmpl w:val="DE28669A"/>
    <w:lvl w:ilvl="0">
      <w:start w:val="4"/>
      <w:numFmt w:val="upperRoman"/>
      <w:lvlText w:val="%1."/>
      <w:lvlJc w:val="left"/>
      <w:pPr>
        <w:ind w:left="720" w:hanging="360"/>
      </w:pPr>
      <w:rPr>
        <w:rFonts w:ascii="Arial Black" w:hAnsi="Arial Black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AC5235B"/>
    <w:multiLevelType w:val="multilevel"/>
    <w:tmpl w:val="4B30C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  <w:rPr>
        <w:rFonts w:ascii="Arial Black" w:hAnsi="Arial Black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2"/>
    <w:rsid w:val="005A1C02"/>
    <w:rsid w:val="006760AD"/>
    <w:rsid w:val="007613B2"/>
    <w:rsid w:val="008B78D3"/>
    <w:rsid w:val="00A636E9"/>
    <w:rsid w:val="00AD5A96"/>
    <w:rsid w:val="00F83DAB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E0095-563F-4105-A768-7371CF2F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1C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1C02"/>
    <w:pPr>
      <w:spacing w:after="120"/>
    </w:pPr>
  </w:style>
  <w:style w:type="paragraph" w:styleId="ListParagraph">
    <w:name w:val="List Paragraph"/>
    <w:basedOn w:val="Standard"/>
    <w:rsid w:val="005A1C02"/>
    <w:pPr>
      <w:spacing w:after="200"/>
      <w:ind w:left="720"/>
    </w:pPr>
  </w:style>
  <w:style w:type="character" w:customStyle="1" w:styleId="StrongEmphasis">
    <w:name w:val="Strong Emphasis"/>
    <w:rsid w:val="005A1C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C0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0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OP4</cp:lastModifiedBy>
  <cp:revision>2</cp:revision>
  <cp:lastPrinted>2020-06-03T06:04:00Z</cp:lastPrinted>
  <dcterms:created xsi:type="dcterms:W3CDTF">2020-12-28T08:57:00Z</dcterms:created>
  <dcterms:modified xsi:type="dcterms:W3CDTF">2020-12-28T08:57:00Z</dcterms:modified>
</cp:coreProperties>
</file>